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A7" w:rsidRPr="00BD5AE9" w:rsidRDefault="00581EA7" w:rsidP="00581EA7">
      <w:pPr>
        <w:pStyle w:val="Heading4"/>
        <w:spacing w:before="60" w:beforeAutospacing="0" w:after="60" w:afterAutospacing="0" w:line="252" w:lineRule="auto"/>
        <w:jc w:val="both"/>
        <w:rPr>
          <w:color w:val="000000"/>
          <w:sz w:val="27"/>
          <w:szCs w:val="27"/>
        </w:rPr>
      </w:pPr>
      <w:r w:rsidRPr="00BD5AE9">
        <w:rPr>
          <w:color w:val="000000"/>
          <w:sz w:val="27"/>
          <w:szCs w:val="27"/>
        </w:rPr>
        <w:t>2. Thủ tục Đăng ký khai thác khoáng sản vật liệu xây dựng thông thường trong diện tích dự án xây dựng công trình (đã được cơ quan nhà nước có thẩm quyền phê duyệt hoặc cho phép đ</w:t>
      </w:r>
      <w:bookmarkStart w:id="0" w:name="_GoBack"/>
      <w:bookmarkEnd w:id="0"/>
      <w:r w:rsidRPr="00BD5AE9">
        <w:rPr>
          <w:color w:val="000000"/>
          <w:sz w:val="27"/>
          <w:szCs w:val="27"/>
        </w:rPr>
        <w:t>ầu tư mà sản phẩm khai thác chỉ được sử dụng cho xây dựng công trình đó) bao gồm cả đăng ký khối lượng cát, sỏi thu hồi từ dự án nạo vét, khơi thông luồng lạch</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6"/>
        <w:gridCol w:w="7619"/>
      </w:tblGrid>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Cơ quan Công bố/Công khai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Ủy ban nhân dân thành phố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Mã thủ tục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Cấp thực hiện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Cấp Tỉnh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Lĩnh vực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Địa chất và khoáng sản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Trình tự thực hiện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Bước 1. Nộp hồ sơ</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Tổ chức, cá nhân đăng ký khu vực, công suất, khối lượng, phương pháp, thiết bị và kế hoạch khai thác khoáng sản vật liệu xây dựng thông thường trong diện tích dự án xây dựng công trìnhnộp hồ sơ đề nghị khai thác cho Sở Tài nguyên và Môi trường; địa chỉ: số 63 Lý Tự Trọng, phường Bến Nghé, Quận 1.</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Bước 2. Kiểm tra hồ sơ:</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Sở Tài nguyên và Môi trường có trách nhiệm kiểm tra văn bản, tài liệu trong hồ sơ. Trường hợp:</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+Văn bản, tài liệu trong hồ sơ bảo đảm đúng quy định thì Sở Tài nguyên và Môi trườngban hành văn bản tiếp nhận hồ sơ.</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Hồ sơ chưa đầy đủ văn bản, tài liệu theo quy định hoặc đủ nhưng nội dung văn bản, tài liệu trong hồ sơ chưa bảo đảm đúng theo quy định của pháp luật thì cơ quan tiếp nhận hồ sơ hướng dẫn bằng văn bản cho tổ chức, cá nhân đề nghị bổ sung, hoàn chỉnh hồ sơ. Việc ban hành văn bản hướng dẫn, yêu cầu bổ sung, hoàn chỉnh hồ sơ của cơ quan tiếp nhận hồ sơ chỉ thực hiện một lần.</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Bước 3. Thẩm định hồ sơ</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+Sở Tài nguyên và Môi trườngcó trách nhiệm hoàn thành việc kiểm tra tọa độ, diện tích khu vực đề nghị khai thác khoáng sản và kiểm tra thực địa;</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Hoàn thành việc thẩm định các tài liệu, hồ sơ và các nội dung khác có liên quan đến việc khai thác khoáng sản và xác định tiền cấp quyền khai thác khoáng sản.</w:t>
            </w:r>
          </w:p>
          <w:p w:rsidR="00581EA7" w:rsidRPr="00BD5AE9" w:rsidRDefault="00581EA7" w:rsidP="00912CE6">
            <w:pPr>
              <w:spacing w:before="60" w:after="60" w:line="252" w:lineRule="auto"/>
              <w:jc w:val="both"/>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Bước 4. Trình hồ sơ đề nghị cấp phép</w:t>
            </w:r>
          </w:p>
          <w:p w:rsidR="00581EA7" w:rsidRPr="00BD5AE9" w:rsidRDefault="00581EA7" w:rsidP="00912CE6">
            <w:pPr>
              <w:spacing w:before="60" w:after="60" w:line="252" w:lineRule="auto"/>
              <w:jc w:val="both"/>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Căn cứ kết quả thẩm định hồ sơ, Sở Tài nguyên và Môi trường hoàn chỉnh và trình hồ sơ đăng ký cho Ủy ban nhân dân thành phố xem xét, xác nhận hoặc không xác nhận đăng ký khu vực, công suất, khối lượng, phương pháp, thiết bị và kế hoạch khai thác khoáng sản vật liệu xây dựng thông thường trong diện tích dự án xây dựng công trình/ thu hồi cát, sỏi từ dự </w:t>
            </w:r>
            <w:r w:rsidRPr="00BD5AE9">
              <w:rPr>
                <w:rFonts w:ascii="Times New Roman" w:eastAsia="Times New Roman" w:hAnsi="Times New Roman"/>
                <w:color w:val="000000"/>
                <w:sz w:val="26"/>
                <w:szCs w:val="26"/>
              </w:rPr>
              <w:lastRenderedPageBreak/>
              <w:t>án nạo vét, khơi thông luồng lạch. Trong trường hợp không xác nhận đăng ký thì phải trả lời bằng văn bản và nêu rõ lý do.</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Bước 5. Trả kết quả giải quyết thủ tục hành chính</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Sở Tài nguyên và Môi trường thông báo cho tổ chức, cá nhân để nhận kết quả (Bản xác nhận) và thực hiện các nghĩa vụ có liên quan theo quy định.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lastRenderedPageBreak/>
              <w:t xml:space="preserve">Cách thức thực hiện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Nộp hồ sơ trực tiếp hoặc gửi hồ sơ qua đường bưu điện hoặc thực hiện thông qua dịch vụ công trực tuyến.</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Trả kết quả được thực hiện trực tiếp tại cơ quan tiếp nhận hồ sơ.</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Thành phần hồ sơ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b/>
                <w:bCs/>
                <w:color w:val="000000"/>
                <w:sz w:val="26"/>
                <w:szCs w:val="26"/>
              </w:rPr>
              <w:t>- Đối với thủ tục đăng ký khai thác khoáng sản vật liệu xây dựng thông thường trong diện tích dự án xây dựng công trình</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Bản chính: Bản đăng ký khu vực, công suất, khối lượng, phương pháp, thiết bị và kế hoạch khai thác khoáng sản;</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Bản chính hoặc bản sao có chứng thực hoặc bản sao kèm theo bản chính để đối chiếu: Bản vẽ quy hoạch tổng thể khu vực xây dựng dự án và quyết định phê duyệt dự án của cơ quan nhà nước có thẩm quyền; Báo cáo đánh giá tác động môi trường của dự án đã được cơ quan nhà nước có thẩm quyền phê duyệt.</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b/>
                <w:bCs/>
                <w:color w:val="000000"/>
                <w:sz w:val="26"/>
                <w:szCs w:val="26"/>
              </w:rPr>
              <w:t>- Đối với thủ tục đăng ký khối lượng cát, sỏi thu hồi từ dự án nạo vét, khơi thông luồng lạch</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Bản chính: Đơn đề nghị thu hồi cát, sỏi, kèm theo bản vẽ vị trí, phạm vi khu vực dự án nạo vét, khơi thông luồng; bản đăng ký khối lượng, kế hoạch, phương pháp, thiết bị dùng để thu hồi cát, sỏi;</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Bản chính hoặc bản sao có chứng thực hoặc bản sao kèm theo bản chính để đối chiếu: Kế hoạch, thời gian thực hiện dự án nạo vét, khơi thông luồng lạch và quyết định phê duyệt dự án của cơ quan nhà nước có thẩm quyền; báo cáo đánh giá tác động môi trường của dự án đã được cơ quan nhà nước có thẩm quyền phê duyệt; hợp đồng thuê bến bãi chứa cát (nếu có).</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Số bộ hồ sơ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01 bộ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Mẫu đơn, mẫu tờ khai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51"/>
              <w:gridCol w:w="2077"/>
            </w:tblGrid>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Tên mẫu đơn, mẫu tờ khai </w:t>
                  </w:r>
                </w:p>
              </w:tc>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Văn bản quy định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hyperlink r:id="rId5" w:history="1">
                    <w:r w:rsidRPr="00BD5AE9">
                      <w:rPr>
                        <w:rFonts w:ascii="Times New Roman" w:eastAsia="Times New Roman" w:hAnsi="Times New Roman"/>
                        <w:color w:val="000000"/>
                        <w:sz w:val="26"/>
                        <w:szCs w:val="26"/>
                      </w:rPr>
                      <w:t>Mẫu số 16 Thông tư số 45.2016.TT-BTNMT.docx</w:t>
                    </w:r>
                  </w:hyperlink>
                  <w:r w:rsidRPr="00BD5AE9">
                    <w:rPr>
                      <w:rFonts w:ascii="Times New Roman" w:eastAsia="Times New Roman" w:hAnsi="Times New Roman"/>
                      <w:color w:val="000000"/>
                      <w:sz w:val="26"/>
                      <w:szCs w:val="26"/>
                    </w:rPr>
                    <w:t xml:space="preserve">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hyperlink r:id="rId6" w:history="1">
                    <w:r w:rsidRPr="00BD5AE9">
                      <w:rPr>
                        <w:rFonts w:ascii="Times New Roman" w:eastAsia="Times New Roman" w:hAnsi="Times New Roman"/>
                        <w:color w:val="000000"/>
                        <w:sz w:val="26"/>
                        <w:szCs w:val="26"/>
                      </w:rPr>
                      <w:t>Mẫu số 17 Thông tư số 45.2016.TT-BTNMT.docx</w:t>
                    </w:r>
                  </w:hyperlink>
                  <w:r w:rsidRPr="00BD5AE9">
                    <w:rPr>
                      <w:rFonts w:ascii="Times New Roman" w:eastAsia="Times New Roman" w:hAnsi="Times New Roman"/>
                      <w:color w:val="000000"/>
                      <w:sz w:val="26"/>
                      <w:szCs w:val="26"/>
                    </w:rPr>
                    <w:t xml:space="preserve">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hyperlink r:id="rId7" w:history="1">
                    <w:r w:rsidRPr="00BD5AE9">
                      <w:rPr>
                        <w:rFonts w:ascii="Times New Roman" w:eastAsia="Times New Roman" w:hAnsi="Times New Roman"/>
                        <w:color w:val="000000"/>
                        <w:sz w:val="26"/>
                        <w:szCs w:val="26"/>
                      </w:rPr>
                      <w:t>Mẫu số 18 Thông tư số 45.2016.TT-BTNMT.docx</w:t>
                    </w:r>
                  </w:hyperlink>
                  <w:r w:rsidRPr="00BD5AE9">
                    <w:rPr>
                      <w:rFonts w:ascii="Times New Roman" w:eastAsia="Times New Roman" w:hAnsi="Times New Roman"/>
                      <w:color w:val="000000"/>
                      <w:sz w:val="26"/>
                      <w:szCs w:val="26"/>
                    </w:rPr>
                    <w:t xml:space="preserve">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p>
              </w:tc>
            </w:tr>
          </w:tbl>
          <w:p w:rsidR="00581EA7" w:rsidRPr="00BD5AE9" w:rsidRDefault="00581EA7" w:rsidP="00912CE6">
            <w:pPr>
              <w:spacing w:before="60" w:after="60" w:line="252" w:lineRule="auto"/>
              <w:rPr>
                <w:rFonts w:ascii="Times New Roman" w:eastAsia="Times New Roman" w:hAnsi="Times New Roman"/>
                <w:color w:val="000000"/>
                <w:sz w:val="26"/>
                <w:szCs w:val="26"/>
              </w:rPr>
            </w:pP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Phí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Không có thông tin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Lệ phí </w:t>
            </w:r>
          </w:p>
        </w:tc>
        <w:tc>
          <w:tcPr>
            <w:tcW w:w="0" w:type="auto"/>
            <w:vAlign w:val="center"/>
            <w:hideMark/>
          </w:tcPr>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882"/>
              <w:gridCol w:w="1247"/>
            </w:tblGrid>
            <w:tr w:rsidR="00581EA7" w:rsidRPr="00BD5AE9" w:rsidTr="00912CE6">
              <w:trPr>
                <w:tblCellSpacing w:w="7"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hyperlink r:id="rId8" w:history="1">
                    <w:r w:rsidRPr="00BD5AE9">
                      <w:rPr>
                        <w:rFonts w:ascii="Times New Roman" w:eastAsia="Times New Roman" w:hAnsi="Times New Roman"/>
                        <w:b/>
                        <w:bCs/>
                        <w:color w:val="000000"/>
                        <w:sz w:val="26"/>
                        <w:szCs w:val="26"/>
                      </w:rPr>
                      <w:t>Mô tả</w:t>
                    </w:r>
                  </w:hyperlink>
                  <w:r w:rsidRPr="00BD5AE9">
                    <w:rPr>
                      <w:rFonts w:ascii="Times New Roman" w:eastAsia="Times New Roman" w:hAnsi="Times New Roman"/>
                      <w:b/>
                      <w:bCs/>
                      <w:color w:val="000000"/>
                      <w:sz w:val="26"/>
                      <w:szCs w:val="26"/>
                    </w:rPr>
                    <w:t xml:space="preserve"> </w:t>
                  </w:r>
                </w:p>
              </w:tc>
              <w:tc>
                <w:tcPr>
                  <w:tcW w:w="1500" w:type="pct"/>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hyperlink r:id="rId9" w:history="1">
                    <w:r w:rsidRPr="00BD5AE9">
                      <w:rPr>
                        <w:rFonts w:ascii="Times New Roman" w:eastAsia="Times New Roman" w:hAnsi="Times New Roman"/>
                        <w:b/>
                        <w:bCs/>
                        <w:color w:val="000000"/>
                        <w:sz w:val="26"/>
                        <w:szCs w:val="26"/>
                      </w:rPr>
                      <w:t>Mức lệ phí</w:t>
                    </w:r>
                  </w:hyperlink>
                  <w:r w:rsidRPr="00BD5AE9">
                    <w:rPr>
                      <w:rFonts w:ascii="Times New Roman" w:eastAsia="Times New Roman" w:hAnsi="Times New Roman"/>
                      <w:b/>
                      <w:bCs/>
                      <w:color w:val="000000"/>
                      <w:sz w:val="26"/>
                      <w:szCs w:val="26"/>
                    </w:rPr>
                    <w:t xml:space="preserve"> </w:t>
                  </w:r>
                </w:p>
              </w:tc>
            </w:tr>
            <w:tr w:rsidR="00581EA7" w:rsidRPr="00BD5AE9" w:rsidTr="00912CE6">
              <w:trPr>
                <w:tblCellSpacing w:w="7" w:type="dxa"/>
              </w:trPr>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Phí, lệ phí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Không </w:t>
                  </w:r>
                </w:p>
              </w:tc>
            </w:tr>
          </w:tbl>
          <w:p w:rsidR="00581EA7" w:rsidRPr="00BD5AE9" w:rsidRDefault="00581EA7" w:rsidP="00912CE6">
            <w:pPr>
              <w:spacing w:before="60" w:after="60" w:line="252" w:lineRule="auto"/>
              <w:rPr>
                <w:rFonts w:ascii="Times New Roman" w:eastAsia="Times New Roman" w:hAnsi="Times New Roman"/>
                <w:color w:val="000000"/>
                <w:sz w:val="26"/>
                <w:szCs w:val="26"/>
              </w:rPr>
            </w:pP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lastRenderedPageBreak/>
              <w:t xml:space="preserve">Mức giá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Không có thông tin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Thời hạn giải quyết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Thời hạn kiểm tra hồ sơ: không quá 05 ngày.</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Thời hạn thẩm định hồ sơ: không quá 35 ngày.</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Trong thời gian không quá 10 ngày, kể từ ngày có phiếu tiếp nhận hồ sơ, cơ quan tiếp nhận hồ sơ có trách nhiệm hoàn thành việc kiểm tra tọa độ, diện tích khu vực đề nghị khai thác khoáng sản và kiểm tra tại thực địa;</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Trong thời gian không quá 25 ngày, cơ quan tiếp nhận hồ sơ phải hoàn thành việc thẩm định các tài liệu, hồ sơ và các nội dung khác có liên quan đến việc khai thác khoáng sản và xác định tiền cấp quyền khai thác khoáng sản.</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Thời hạn cấp Giấy phép khai thác khoáng sản: không quá 12 ngày</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Trong thời hạn không quá 05 ngày, kể từ ngày hoàn thành công việc thẩm định hồ sơ, Sở Tài nguyên và Môi trường có trách nhiệm hoàn chỉnh và trình hồ sơ đăng ký cho Ủy ban nhân dân thành phố nơi có dự án xây dựng công trình/ dự án nạo vét, khơi thông luồng lạch;</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Trong thời hạn không quá 07 ngày, kể từ ngày nhận được hồ sơ, Ủy ban nhân dân thành phố hoàn thành việc đăng ký. Trong trường hợp không đăng ký thì phải trả lời bằng văn bản và nêu rõ lý do.</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Thời hạn thông báo và trả kết quả hồ sơ:</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Trong thời gian không quá 05 ngày, kể từ khi nhận được hồ sơ từ cơ quan có thẩm quyền, cơ quan tiếp nhận hồ sơ thông báo cho tổ chức, cá nhân đề nghị đăng ký khối lượng khai thác khoáng sản để nhận kết quả và thực hiện các nghĩa vụ có liên quan theo quy định. Thời gian nêu trên không kể thời gian tổ chức, cá nhân khai thác khoáng sản làm thủ tục nộp tiền cấp quyền khai thác.</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Đối tượng thực hiện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 Cá nhân, tổ chức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Cơ quan thực hiện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Sở Tài nguyên và Môi trường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Cơ quan có thẩm quyền quyết định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Ủy ban nhân dân thành phố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Địa chỉ tiếp nhận hồ sơ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Bộ phận tiếp nhận và hoàn trả hồ sơ Sở Tài nguyên và Môi trường; 63 Lý Tự Trọng, phường Bến Nghé, Quận 1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Cơ quan được ủy quyền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Không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Cơ quan phối hợp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Không có thông tin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lastRenderedPageBreak/>
              <w:t xml:space="preserve">Kết quả thực hiện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Bản xác nhận đăng ký khai thác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Căn cứ pháp lý của TTHC </w:t>
            </w:r>
          </w:p>
        </w:tc>
        <w:tc>
          <w:tcPr>
            <w:tcW w:w="0" w:type="auto"/>
            <w:vAlign w:val="center"/>
            <w:hideMark/>
          </w:tcPr>
          <w:p w:rsidR="00581EA7" w:rsidRPr="00BD5AE9" w:rsidRDefault="00581EA7" w:rsidP="00581EA7">
            <w:pPr>
              <w:numPr>
                <w:ilvl w:val="0"/>
                <w:numId w:val="2"/>
              </w:numPr>
              <w:spacing w:before="60" w:after="60" w:line="252" w:lineRule="auto"/>
              <w:rPr>
                <w:rFonts w:ascii="Times New Roman" w:eastAsia="Times New Roman" w:hAnsi="Times New Roman"/>
                <w:color w:val="000000"/>
                <w:sz w:val="26"/>
                <w:szCs w:val="26"/>
              </w:rPr>
            </w:pPr>
            <w:hyperlink r:id="rId10" w:tgtFrame="_blank" w:tooltip="Luật 60/2010/QH12" w:history="1">
              <w:r w:rsidRPr="00BD5AE9">
                <w:rPr>
                  <w:rFonts w:ascii="Times New Roman" w:eastAsia="Times New Roman" w:hAnsi="Times New Roman"/>
                  <w:color w:val="000000"/>
                  <w:sz w:val="26"/>
                  <w:szCs w:val="26"/>
                </w:rPr>
                <w:t>Luật 60/2010/QH12</w:t>
              </w:r>
            </w:hyperlink>
            <w:r w:rsidRPr="00BD5AE9">
              <w:rPr>
                <w:rFonts w:ascii="Times New Roman" w:eastAsia="Times New Roman" w:hAnsi="Times New Roman"/>
                <w:color w:val="000000"/>
                <w:sz w:val="26"/>
                <w:szCs w:val="26"/>
              </w:rPr>
              <w:t xml:space="preserve"> </w:t>
            </w:r>
          </w:p>
          <w:p w:rsidR="00581EA7" w:rsidRPr="00BD5AE9" w:rsidRDefault="00581EA7" w:rsidP="00581EA7">
            <w:pPr>
              <w:numPr>
                <w:ilvl w:val="0"/>
                <w:numId w:val="2"/>
              </w:numPr>
              <w:spacing w:before="60" w:after="60" w:line="252" w:lineRule="auto"/>
              <w:rPr>
                <w:rFonts w:ascii="Times New Roman" w:eastAsia="Times New Roman" w:hAnsi="Times New Roman"/>
                <w:color w:val="000000"/>
                <w:sz w:val="26"/>
                <w:szCs w:val="26"/>
              </w:rPr>
            </w:pPr>
            <w:hyperlink r:id="rId11" w:tgtFrame="_blank" w:tooltip="Nghị định 18/2015/NĐ-CP" w:history="1">
              <w:r w:rsidRPr="00BD5AE9">
                <w:rPr>
                  <w:rFonts w:ascii="Times New Roman" w:eastAsia="Times New Roman" w:hAnsi="Times New Roman"/>
                  <w:color w:val="000000"/>
                  <w:sz w:val="26"/>
                  <w:szCs w:val="26"/>
                </w:rPr>
                <w:t>Nghị định 18/2015/NĐ-CP</w:t>
              </w:r>
            </w:hyperlink>
            <w:r w:rsidRPr="00BD5AE9">
              <w:rPr>
                <w:rFonts w:ascii="Times New Roman" w:eastAsia="Times New Roman" w:hAnsi="Times New Roman"/>
                <w:color w:val="000000"/>
                <w:sz w:val="26"/>
                <w:szCs w:val="26"/>
              </w:rPr>
              <w:t xml:space="preserve"> </w:t>
            </w:r>
          </w:p>
          <w:p w:rsidR="00581EA7" w:rsidRPr="00BD5AE9" w:rsidRDefault="00581EA7" w:rsidP="00581EA7">
            <w:pPr>
              <w:numPr>
                <w:ilvl w:val="0"/>
                <w:numId w:val="2"/>
              </w:numPr>
              <w:spacing w:before="60" w:after="60" w:line="252" w:lineRule="auto"/>
              <w:rPr>
                <w:rFonts w:ascii="Times New Roman" w:eastAsia="Times New Roman" w:hAnsi="Times New Roman"/>
                <w:color w:val="000000"/>
                <w:sz w:val="26"/>
                <w:szCs w:val="26"/>
              </w:rPr>
            </w:pPr>
            <w:hyperlink r:id="rId12" w:tgtFrame="_blank" w:tooltip="Thông tư 27/2015/TT-BTNMT" w:history="1">
              <w:r w:rsidRPr="00BD5AE9">
                <w:rPr>
                  <w:rFonts w:ascii="Times New Roman" w:eastAsia="Times New Roman" w:hAnsi="Times New Roman"/>
                  <w:color w:val="000000"/>
                  <w:sz w:val="26"/>
                  <w:szCs w:val="26"/>
                </w:rPr>
                <w:t>Thông tư 27/2015/TT-BTNMT</w:t>
              </w:r>
            </w:hyperlink>
            <w:r w:rsidRPr="00BD5AE9">
              <w:rPr>
                <w:rFonts w:ascii="Times New Roman" w:eastAsia="Times New Roman" w:hAnsi="Times New Roman"/>
                <w:color w:val="000000"/>
                <w:sz w:val="26"/>
                <w:szCs w:val="26"/>
              </w:rPr>
              <w:t xml:space="preserve"> </w:t>
            </w:r>
          </w:p>
          <w:p w:rsidR="00581EA7" w:rsidRPr="00BD5AE9" w:rsidRDefault="00581EA7" w:rsidP="00581EA7">
            <w:pPr>
              <w:numPr>
                <w:ilvl w:val="0"/>
                <w:numId w:val="2"/>
              </w:numPr>
              <w:spacing w:before="60" w:after="60" w:line="252" w:lineRule="auto"/>
              <w:rPr>
                <w:rFonts w:ascii="Times New Roman" w:eastAsia="Times New Roman" w:hAnsi="Times New Roman"/>
                <w:color w:val="000000"/>
                <w:sz w:val="26"/>
                <w:szCs w:val="26"/>
              </w:rPr>
            </w:pPr>
            <w:hyperlink r:id="rId13" w:tgtFrame="_blank" w:tooltip="Nghị định 158/2016/NĐ-CP" w:history="1">
              <w:r w:rsidRPr="00BD5AE9">
                <w:rPr>
                  <w:rFonts w:ascii="Times New Roman" w:eastAsia="Times New Roman" w:hAnsi="Times New Roman"/>
                  <w:color w:val="000000"/>
                  <w:sz w:val="26"/>
                  <w:szCs w:val="26"/>
                </w:rPr>
                <w:t>Nghị định 158/2016/NĐ-CP</w:t>
              </w:r>
            </w:hyperlink>
            <w:r w:rsidRPr="00BD5AE9">
              <w:rPr>
                <w:rFonts w:ascii="Times New Roman" w:eastAsia="Times New Roman" w:hAnsi="Times New Roman"/>
                <w:color w:val="000000"/>
                <w:sz w:val="26"/>
                <w:szCs w:val="26"/>
              </w:rPr>
              <w:t xml:space="preserve"> </w:t>
            </w:r>
          </w:p>
          <w:p w:rsidR="00581EA7" w:rsidRPr="00BD5AE9" w:rsidRDefault="00581EA7" w:rsidP="00581EA7">
            <w:pPr>
              <w:numPr>
                <w:ilvl w:val="0"/>
                <w:numId w:val="2"/>
              </w:numPr>
              <w:spacing w:before="60" w:after="60" w:line="252" w:lineRule="auto"/>
              <w:rPr>
                <w:rFonts w:ascii="Times New Roman" w:eastAsia="Times New Roman" w:hAnsi="Times New Roman"/>
                <w:color w:val="000000"/>
                <w:sz w:val="26"/>
                <w:szCs w:val="26"/>
              </w:rPr>
            </w:pPr>
            <w:hyperlink r:id="rId14" w:tgtFrame="_blank" w:tooltip="Thông tư 45/2016/TT-BTNMT" w:history="1">
              <w:r w:rsidRPr="00BD5AE9">
                <w:rPr>
                  <w:rFonts w:ascii="Times New Roman" w:eastAsia="Times New Roman" w:hAnsi="Times New Roman"/>
                  <w:color w:val="000000"/>
                  <w:sz w:val="26"/>
                  <w:szCs w:val="26"/>
                </w:rPr>
                <w:t>Thông tư 45/2016/TT-BTNMT</w:t>
              </w:r>
            </w:hyperlink>
            <w:r w:rsidRPr="00BD5AE9">
              <w:rPr>
                <w:rFonts w:ascii="Times New Roman" w:eastAsia="Times New Roman" w:hAnsi="Times New Roman"/>
                <w:color w:val="000000"/>
                <w:sz w:val="26"/>
                <w:szCs w:val="26"/>
              </w:rPr>
              <w:t xml:space="preserve"> </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Yêu cầu hoặc điều kiện để thực hiện TTHC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b/>
                <w:bCs/>
                <w:color w:val="000000"/>
                <w:sz w:val="26"/>
                <w:szCs w:val="26"/>
              </w:rPr>
              <w:t>- Đối với thủ tục đăng ký khai thác khoáng sản vật liệu xây dựng thông thường trong diện tích dự án xây dựng công trình:</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Có quyết định phê duyệt dự án đầu tư xây dựng công trình của cơ quan nhà nước có thẩm quyền;</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Có báo cáo đánh giá tác động môi trường hoặc Kế hoạch bảo vệ môi trường theo quy định của pháp luật về bảo vệ môi trường.</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b/>
                <w:bCs/>
                <w:color w:val="000000"/>
                <w:sz w:val="26"/>
                <w:szCs w:val="26"/>
              </w:rPr>
              <w:t>- Đối với Thủ tục đăng ký khối lượng cát, sỏi thu hồi từ dự án nạo vét, khơi thông luồng lạch:</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Có quyết định phê duyệt dự án nạo vét, khơi thông luòng lạch của cơ quan nhà nước có thẩm quyền;</w:t>
            </w:r>
          </w:p>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Có báo cáo đánh giá tác động môi trường hoặc Kế hoạch bảo vệ môi trường theo quy định của pháp luật về bảo vệ môi trường;</w:t>
            </w:r>
          </w:p>
        </w:tc>
      </w:tr>
      <w:tr w:rsidR="00581EA7" w:rsidRPr="00BD5AE9" w:rsidTr="00912CE6">
        <w:trPr>
          <w:tblCellSpacing w:w="15" w:type="dxa"/>
        </w:trPr>
        <w:tc>
          <w:tcPr>
            <w:tcW w:w="0" w:type="auto"/>
            <w:vAlign w:val="center"/>
            <w:hideMark/>
          </w:tcPr>
          <w:p w:rsidR="00581EA7" w:rsidRPr="00BD5AE9" w:rsidRDefault="00581EA7" w:rsidP="00912CE6">
            <w:pPr>
              <w:spacing w:before="60" w:after="60" w:line="252" w:lineRule="auto"/>
              <w:jc w:val="center"/>
              <w:rPr>
                <w:rFonts w:ascii="Times New Roman" w:eastAsia="Times New Roman" w:hAnsi="Times New Roman"/>
                <w:b/>
                <w:bCs/>
                <w:color w:val="000000"/>
                <w:sz w:val="26"/>
                <w:szCs w:val="26"/>
              </w:rPr>
            </w:pPr>
            <w:r w:rsidRPr="00BD5AE9">
              <w:rPr>
                <w:rFonts w:ascii="Times New Roman" w:eastAsia="Times New Roman" w:hAnsi="Times New Roman"/>
                <w:b/>
                <w:bCs/>
                <w:color w:val="000000"/>
                <w:sz w:val="26"/>
                <w:szCs w:val="26"/>
              </w:rPr>
              <w:t xml:space="preserve">Đánh giá tác động TTHC </w:t>
            </w:r>
          </w:p>
        </w:tc>
        <w:tc>
          <w:tcPr>
            <w:tcW w:w="0" w:type="auto"/>
            <w:vAlign w:val="center"/>
            <w:hideMark/>
          </w:tcPr>
          <w:p w:rsidR="00581EA7" w:rsidRPr="00BD5AE9" w:rsidRDefault="00581EA7" w:rsidP="00912CE6">
            <w:pPr>
              <w:spacing w:before="60" w:after="60" w:line="252" w:lineRule="auto"/>
              <w:rPr>
                <w:rFonts w:ascii="Times New Roman" w:eastAsia="Times New Roman" w:hAnsi="Times New Roman"/>
                <w:color w:val="000000"/>
                <w:sz w:val="26"/>
                <w:szCs w:val="26"/>
              </w:rPr>
            </w:pPr>
            <w:r w:rsidRPr="00BD5AE9">
              <w:rPr>
                <w:rFonts w:ascii="Times New Roman" w:eastAsia="Times New Roman" w:hAnsi="Times New Roman"/>
                <w:color w:val="000000"/>
                <w:sz w:val="26"/>
                <w:szCs w:val="26"/>
              </w:rPr>
              <w:t xml:space="preserve">Không có thông tin </w:t>
            </w:r>
          </w:p>
        </w:tc>
      </w:tr>
    </w:tbl>
    <w:p w:rsidR="00E37A02" w:rsidRDefault="00E37A02" w:rsidP="00581EA7">
      <w:pPr>
        <w:pStyle w:val="Heading4"/>
        <w:spacing w:before="60" w:beforeAutospacing="0" w:after="60" w:afterAutospacing="0" w:line="252" w:lineRule="auto"/>
      </w:pPr>
    </w:p>
    <w:sectPr w:rsidR="00E37A02" w:rsidSect="00EF1A01">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82DCA"/>
    <w:multiLevelType w:val="multilevel"/>
    <w:tmpl w:val="CE98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B27BB"/>
    <w:multiLevelType w:val="multilevel"/>
    <w:tmpl w:val="B188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A7"/>
    <w:rsid w:val="00581EA7"/>
    <w:rsid w:val="00E3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45E4C-8CF5-476B-AB8F-D86ADE92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A7"/>
    <w:rPr>
      <w:rFonts w:ascii="Calibri" w:eastAsia="Calibri" w:hAnsi="Calibri" w:cs="Times New Roman"/>
    </w:rPr>
  </w:style>
  <w:style w:type="paragraph" w:styleId="Heading4">
    <w:name w:val="heading 4"/>
    <w:basedOn w:val="Normal"/>
    <w:link w:val="Heading4Char"/>
    <w:uiPriority w:val="9"/>
    <w:qFormat/>
    <w:rsid w:val="00581EA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1EA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486514&amp;Keyword=264981&amp;filter=1&amp;tthcDonVi=B%E1%BB%99+T%C3%A0i+nguy%C3%AAn+v%C3%A0+M%C3%B4i+tr%C6%B0%E1%BB%9Dng" TargetMode="External"/><Relationship Id="rId13" Type="http://schemas.openxmlformats.org/officeDocument/2006/relationships/hyperlink" Target="http://vbpl.vn/TW/Pages/vbpq-thuoctinh.aspx?ItemID=115624"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csdl.thutuchanhchinh.vn/TW/Lists/MauDonToKhai/Attachments/246869/M&#7851;u%20s&#7889;%2018%20Th&#244;ng%20t&#432;%20s&#7889;%2045.2016.TT-BTNMT.docx" TargetMode="External"/><Relationship Id="rId12" Type="http://schemas.openxmlformats.org/officeDocument/2006/relationships/hyperlink" Target="http://vbpl.vn/TW/Pages/vbpq-thuoctinh.aspx?ItemID=67918"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sdl.thutuchanhchinh.vn/TW/Lists/MauDonToKhai/Attachments/246872/M&#7851;u%20s&#7889;%2017%20Th&#244;ng%20t&#432;%20s&#7889;%2045.2016.TT-BTNMT.docx" TargetMode="External"/><Relationship Id="rId11" Type="http://schemas.openxmlformats.org/officeDocument/2006/relationships/hyperlink" Target="http://vbpl.vn/TW/Pages/vbpq-thuoctinh.aspx?ItemID=52325" TargetMode="External"/><Relationship Id="rId5" Type="http://schemas.openxmlformats.org/officeDocument/2006/relationships/hyperlink" Target="http://csdl.thutuchanhchinh.vn/TW/Lists/MauDonToKhai/Attachments/246871/M&#7851;u%20s&#7889;%2016%20Th&#244;ng%20t&#432;%20s&#7889;%2045.2016.TT-BTNMT.docx" TargetMode="External"/><Relationship Id="rId15" Type="http://schemas.openxmlformats.org/officeDocument/2006/relationships/fontTable" Target="fontTable.xml"/><Relationship Id="rId10" Type="http://schemas.openxmlformats.org/officeDocument/2006/relationships/hyperlink" Target="http://vbpl.vn/TW/Pages/vbpq-thuoctinh.aspx?ItemID=26349"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csdl.thutuchanhchinh.vn/TW/Pages/chi-tiet-thu-tuc-hanh-chinh.aspx?ItemID=486514&amp;Keyword=264981&amp;filter=1&amp;tthcDonVi=B%E1%BB%99+T%C3%A0i+nguy%C3%AAn+v%C3%A0+M%C3%B4i+tr%C6%B0%E1%BB%9Dng" TargetMode="External"/><Relationship Id="rId14" Type="http://schemas.openxmlformats.org/officeDocument/2006/relationships/hyperlink" Target="http://vbpl.vn/TW/Pages/vbpq-thuoctinh.aspx?ItemID=122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F9796E9-0F10-47AE-9012-B5ADD7F231A6}"/>
</file>

<file path=customXml/itemProps2.xml><?xml version="1.0" encoding="utf-8"?>
<ds:datastoreItem xmlns:ds="http://schemas.openxmlformats.org/officeDocument/2006/customXml" ds:itemID="{380F8D0C-E693-4C9F-A0F2-39310310E879}"/>
</file>

<file path=customXml/itemProps3.xml><?xml version="1.0" encoding="utf-8"?>
<ds:datastoreItem xmlns:ds="http://schemas.openxmlformats.org/officeDocument/2006/customXml" ds:itemID="{B7CFA13C-0565-47EB-94E9-1ED606E4D934}"/>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2019-10-04T08:11:00Z</dcterms:created>
  <dcterms:modified xsi:type="dcterms:W3CDTF">2019-10-04T08:13:00Z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